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1D61" w:rsidRDefault="00B51113">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91D61" w:rsidRDefault="00B51113">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1.012890</w:t>
      </w:r>
    </w:p>
    <w:p w:rsidR="00E91D61" w:rsidRDefault="00B51113">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891/QĐ-BXD</w:t>
      </w:r>
    </w:p>
    <w:p w:rsidR="00E91D61" w:rsidRDefault="00B51113">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Gia hạn thời hạn sở hữu nhà ở tại Việt Nam của tổ chức, cá nhân nước ngoài</w:t>
      </w:r>
    </w:p>
    <w:p w:rsidR="00E91D61" w:rsidRDefault="00B51113">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E91D61" w:rsidRDefault="00B51113">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E91D61" w:rsidRDefault="00B51113">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Nhà ở </w:t>
      </w:r>
      <w:r>
        <w:rPr>
          <w:rFonts w:ascii="Times New Roman" w:eastAsia="Times New Roman" w:hAnsi="Times New Roman" w:cs="Times New Roman"/>
          <w:sz w:val="26"/>
        </w:rPr>
        <w:t>và công sở</w:t>
      </w:r>
    </w:p>
    <w:p w:rsidR="00E91D61" w:rsidRDefault="00B51113">
      <w:pPr>
        <w:spacing w:after="0" w:line="276" w:lineRule="auto"/>
        <w:jc w:val="both"/>
      </w:pPr>
      <w:r>
        <w:rPr>
          <w:rFonts w:ascii="Times New Roman" w:eastAsia="Times New Roman" w:hAnsi="Times New Roman" w:cs="Times New Roman"/>
          <w:b/>
          <w:sz w:val="26"/>
        </w:rPr>
        <w:t xml:space="preserve">Trình tự thực hiện: </w:t>
      </w:r>
    </w:p>
    <w:p w:rsidR="00E91D61" w:rsidRDefault="00E91D61">
      <w:pPr>
        <w:shd w:val="clear" w:color="auto" w:fill="F2F6F9"/>
        <w:spacing w:before="120" w:after="0" w:line="276" w:lineRule="auto"/>
        <w:jc w:val="both"/>
      </w:pPr>
    </w:p>
    <w:p w:rsidR="00E91D61" w:rsidRDefault="00B51113">
      <w:pPr>
        <w:spacing w:after="0" w:line="276" w:lineRule="auto"/>
        <w:jc w:val="both"/>
      </w:pPr>
      <w:r>
        <w:rPr>
          <w:rFonts w:ascii="Times New Roman" w:eastAsia="Times New Roman" w:hAnsi="Times New Roman" w:cs="Times New Roman"/>
          <w:sz w:val="26"/>
        </w:rPr>
        <w:t>Trước khi hết hạn sở hữu nhà ở tối thiểu 03 tháng, tổ chức, cá nhân nước ngoài có nhu cầu gia hạn thêm thời hạn sở hữu nhà ở gửi 01 bộ hồ sơ đến Ủy ban nhân dân cấp tỉnh nơi có nhà ở để được xem xét, giải quyết;</w:t>
      </w:r>
    </w:p>
    <w:p w:rsidR="00E91D61" w:rsidRDefault="00B51113">
      <w:pPr>
        <w:spacing w:after="0" w:line="276" w:lineRule="auto"/>
        <w:jc w:val="both"/>
      </w:pPr>
      <w:r>
        <w:rPr>
          <w:rFonts w:ascii="Times New Roman" w:eastAsia="Times New Roman" w:hAnsi="Times New Roman" w:cs="Times New Roman"/>
          <w:sz w:val="26"/>
        </w:rPr>
        <w:t xml:space="preserve">Trong thời </w:t>
      </w:r>
      <w:r>
        <w:rPr>
          <w:rFonts w:ascii="Times New Roman" w:eastAsia="Times New Roman" w:hAnsi="Times New Roman" w:cs="Times New Roman"/>
          <w:sz w:val="26"/>
        </w:rPr>
        <w:t>hạn tối đa 30 ngày, kể từ ngày nhận được hồ sơ hợp lệ của tổ chức, cá nhân nước ngoài, Ủy ban nhân dân cấp tỉnh có trách nhiệm kiểm tra hồ sơ, nếu vẫn đáp ứng đúng đối tượng và điều kiện theo quy định của Luật Nhà ở thì có văn bản chấp thuận gia hạn một lầ</w:t>
      </w:r>
      <w:r>
        <w:rPr>
          <w:rFonts w:ascii="Times New Roman" w:eastAsia="Times New Roman" w:hAnsi="Times New Roman" w:cs="Times New Roman"/>
          <w:sz w:val="26"/>
        </w:rPr>
        <w:t>n thời hạn sở hữu nhà ở theo đề nghị của chủ sở hữu nhưng tối đa là 50 năm, kể từ khi hết hạn sở hữu nhà ở lần đầu ghi trên Giấy chứng nhận; đối với trường hợp chủ sở hữu nhà ở là tổ chức thì gia hạn thời hạn sở hữu tối đa bằng thời hạn ghi trên Giấy chứng</w:t>
      </w:r>
      <w:r>
        <w:rPr>
          <w:rFonts w:ascii="Times New Roman" w:eastAsia="Times New Roman" w:hAnsi="Times New Roman" w:cs="Times New Roman"/>
          <w:sz w:val="26"/>
        </w:rPr>
        <w:t xml:space="preserve"> nhận đăng ký đầu tư đã được cơ quan có thẩm quyền của Việt Nam gia hạn hoạt động; trường hợp không đáp ứng quy định tại điểm này thì Ủy nhân dân cấp tỉnh phải có văn bản thông báo rõ lý do trả lời tổ chức, cá nhân nộp hồ sơ.</w:t>
      </w:r>
    </w:p>
    <w:p w:rsidR="00E91D61" w:rsidRDefault="00B51113">
      <w:pPr>
        <w:spacing w:after="0" w:line="276" w:lineRule="auto"/>
        <w:jc w:val="both"/>
      </w:pPr>
      <w:r>
        <w:rPr>
          <w:rFonts w:ascii="Times New Roman" w:eastAsia="Times New Roman" w:hAnsi="Times New Roman" w:cs="Times New Roman"/>
          <w:sz w:val="26"/>
        </w:rPr>
        <w:t>Trường hợp chấp thuận việc gia</w:t>
      </w:r>
      <w:r>
        <w:rPr>
          <w:rFonts w:ascii="Times New Roman" w:eastAsia="Times New Roman" w:hAnsi="Times New Roman" w:cs="Times New Roman"/>
          <w:sz w:val="26"/>
        </w:rPr>
        <w:t xml:space="preserve"> hạn thì Ủy ban nhân dân cấp tỉnh phải gửi văn bản chấp thuận này cho tổ chức, cá nhân nộp hồ sơ và gửi cho cơ quan có thẩm quyền cấp Giấy chứng nhận;</w:t>
      </w:r>
    </w:p>
    <w:p w:rsidR="00E91D61" w:rsidRDefault="00B51113">
      <w:pPr>
        <w:spacing w:after="0" w:line="276" w:lineRule="auto"/>
        <w:jc w:val="both"/>
      </w:pPr>
      <w:r>
        <w:rPr>
          <w:rFonts w:ascii="Times New Roman" w:eastAsia="Times New Roman" w:hAnsi="Times New Roman" w:cs="Times New Roman"/>
          <w:sz w:val="26"/>
        </w:rPr>
        <w:t xml:space="preserve">Trong thời hạn tối đa 15 ngày, kể từ ngày nhận được văn bản chấp thuận gia hạn thời hạn sở hữu nhà ở của </w:t>
      </w:r>
      <w:r>
        <w:rPr>
          <w:rFonts w:ascii="Times New Roman" w:eastAsia="Times New Roman" w:hAnsi="Times New Roman" w:cs="Times New Roman"/>
          <w:sz w:val="26"/>
        </w:rPr>
        <w:t>Ủy ban nhân dân cấp tỉnh, chủ sở hữu nhà ở phải nộp văn bản chấp thuận gia hạn của Ủy ban nhân dân cấp tỉnh kèm theo hồ sơ đề nghị đăng ký biến động thay đổi về thời hạn sở hữu nhà ở trên Giấy chứng nhận đã cấp theo quy định của pháp luật về đất đai.</w:t>
      </w:r>
    </w:p>
    <w:p w:rsidR="00E91D61" w:rsidRDefault="00B51113">
      <w:pPr>
        <w:spacing w:before="240" w:after="0" w:line="276" w:lineRule="auto"/>
        <w:jc w:val="both"/>
      </w:pPr>
      <w:r>
        <w:rPr>
          <w:rFonts w:ascii="Times New Roman" w:eastAsia="Times New Roman" w:hAnsi="Times New Roman" w:cs="Times New Roman"/>
          <w:b/>
          <w:sz w:val="26"/>
        </w:rPr>
        <w:t xml:space="preserve">Cách </w:t>
      </w:r>
      <w:r>
        <w:rPr>
          <w:rFonts w:ascii="Times New Roman" w:eastAsia="Times New Roman" w:hAnsi="Times New Roman" w:cs="Times New Roman"/>
          <w:b/>
          <w:sz w:val="26"/>
        </w:rPr>
        <w:t xml:space="preserve">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26"/>
        <w:gridCol w:w="1567"/>
        <w:gridCol w:w="2644"/>
        <w:gridCol w:w="3674"/>
      </w:tblGrid>
      <w:tr w:rsidR="00E91D61">
        <w:tblPrEx>
          <w:tblCellMar>
            <w:top w:w="0" w:type="dxa"/>
            <w:bottom w:w="0" w:type="dxa"/>
          </w:tblCellMar>
        </w:tblPrEx>
        <w:tc>
          <w:tcPr>
            <w:tcW w:w="1500" w:type="dxa"/>
          </w:tcPr>
          <w:p w:rsidR="00E91D61" w:rsidRDefault="00E91D61"/>
          <w:p w:rsidR="00E91D61" w:rsidRDefault="00B51113">
            <w:pPr>
              <w:spacing w:after="0" w:line="276" w:lineRule="auto"/>
              <w:jc w:val="center"/>
            </w:pPr>
            <w:r>
              <w:rPr>
                <w:rFonts w:ascii="Times New Roman" w:eastAsia="Times New Roman" w:hAnsi="Times New Roman" w:cs="Times New Roman"/>
                <w:b/>
                <w:sz w:val="26"/>
              </w:rPr>
              <w:t>Hình thức nộp</w:t>
            </w:r>
          </w:p>
        </w:tc>
        <w:tc>
          <w:tcPr>
            <w:tcW w:w="2000" w:type="dxa"/>
          </w:tcPr>
          <w:p w:rsidR="00E91D61" w:rsidRDefault="00E91D61"/>
          <w:p w:rsidR="00E91D61" w:rsidRDefault="00B51113">
            <w:pPr>
              <w:spacing w:after="0" w:line="276" w:lineRule="auto"/>
              <w:jc w:val="center"/>
            </w:pPr>
            <w:r>
              <w:rPr>
                <w:rFonts w:ascii="Times New Roman" w:eastAsia="Times New Roman" w:hAnsi="Times New Roman" w:cs="Times New Roman"/>
                <w:b/>
                <w:sz w:val="26"/>
              </w:rPr>
              <w:t>Thời hạn giải quyết</w:t>
            </w:r>
          </w:p>
        </w:tc>
        <w:tc>
          <w:tcPr>
            <w:tcW w:w="3500" w:type="dxa"/>
          </w:tcPr>
          <w:p w:rsidR="00E91D61" w:rsidRDefault="00E91D61"/>
          <w:p w:rsidR="00E91D61" w:rsidRDefault="00B51113">
            <w:pPr>
              <w:spacing w:after="0" w:line="276" w:lineRule="auto"/>
              <w:jc w:val="center"/>
            </w:pPr>
            <w:r>
              <w:rPr>
                <w:rFonts w:ascii="Times New Roman" w:eastAsia="Times New Roman" w:hAnsi="Times New Roman" w:cs="Times New Roman"/>
                <w:b/>
                <w:sz w:val="26"/>
              </w:rPr>
              <w:t>Phí, lệ phí</w:t>
            </w:r>
          </w:p>
        </w:tc>
        <w:tc>
          <w:tcPr>
            <w:tcW w:w="3000" w:type="dxa"/>
          </w:tcPr>
          <w:p w:rsidR="00E91D61" w:rsidRDefault="00E91D61"/>
          <w:p w:rsidR="00E91D61" w:rsidRDefault="00B51113">
            <w:pPr>
              <w:spacing w:after="0" w:line="276" w:lineRule="auto"/>
              <w:jc w:val="center"/>
            </w:pPr>
            <w:r>
              <w:rPr>
                <w:rFonts w:ascii="Times New Roman" w:eastAsia="Times New Roman" w:hAnsi="Times New Roman" w:cs="Times New Roman"/>
                <w:b/>
                <w:sz w:val="26"/>
              </w:rPr>
              <w:t>Mô tả</w:t>
            </w:r>
          </w:p>
        </w:tc>
      </w:tr>
      <w:tr w:rsidR="00E91D61">
        <w:tblPrEx>
          <w:tblCellMar>
            <w:top w:w="0" w:type="dxa"/>
            <w:bottom w:w="0" w:type="dxa"/>
          </w:tblCellMar>
        </w:tblPrEx>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Trực tiếp</w:t>
            </w:r>
          </w:p>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30 Ngày</w:t>
            </w:r>
          </w:p>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Phí : 0 Đồng (Không quy định.)</w:t>
            </w:r>
          </w:p>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Tối đa 30 ngày, kể từ ngày nhận đủ hồ sơ hợp lệ.</w:t>
            </w:r>
          </w:p>
        </w:tc>
      </w:tr>
      <w:tr w:rsidR="00E91D61">
        <w:tblPrEx>
          <w:tblCellMar>
            <w:top w:w="0" w:type="dxa"/>
            <w:bottom w:w="0" w:type="dxa"/>
          </w:tblCellMar>
        </w:tblPrEx>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Trực tuyến</w:t>
            </w:r>
          </w:p>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30 Ngày</w:t>
            </w:r>
          </w:p>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Phí : 0 Đồng (Không quy định.)</w:t>
            </w:r>
          </w:p>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 xml:space="preserve">Tối đa 30 ngày, kể từ </w:t>
            </w:r>
            <w:r>
              <w:rPr>
                <w:rFonts w:ascii="Times New Roman" w:eastAsia="Times New Roman" w:hAnsi="Times New Roman" w:cs="Times New Roman"/>
                <w:sz w:val="26"/>
              </w:rPr>
              <w:t>ngày nhận đủ hồ sơ hợp lệ.</w:t>
            </w:r>
          </w:p>
        </w:tc>
      </w:tr>
      <w:tr w:rsidR="00E91D61">
        <w:tblPrEx>
          <w:tblCellMar>
            <w:top w:w="0" w:type="dxa"/>
            <w:bottom w:w="0" w:type="dxa"/>
          </w:tblCellMar>
        </w:tblPrEx>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Dịch vụ bưu chính</w:t>
            </w:r>
          </w:p>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30 Ngày</w:t>
            </w:r>
          </w:p>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Phí : 0 Đồng (Không quy định.)</w:t>
            </w:r>
          </w:p>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Tối đa 30 ngày, kể từ ngày nhận đủ hồ sơ hợp lệ.</w:t>
            </w:r>
          </w:p>
        </w:tc>
      </w:tr>
    </w:tbl>
    <w:p w:rsidR="00E91D61" w:rsidRDefault="00B51113">
      <w:pPr>
        <w:spacing w:before="240" w:after="0" w:line="276" w:lineRule="auto"/>
        <w:jc w:val="both"/>
      </w:pPr>
      <w:r>
        <w:rPr>
          <w:rFonts w:ascii="Times New Roman" w:eastAsia="Times New Roman" w:hAnsi="Times New Roman" w:cs="Times New Roman"/>
          <w:b/>
          <w:sz w:val="26"/>
        </w:rPr>
        <w:t xml:space="preserve">Thành phần hồ sơ: </w:t>
      </w:r>
    </w:p>
    <w:p w:rsidR="00E91D61" w:rsidRDefault="00B51113">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819"/>
        <w:gridCol w:w="1637"/>
        <w:gridCol w:w="955"/>
      </w:tblGrid>
      <w:tr w:rsidR="00E91D61">
        <w:tblPrEx>
          <w:tblCellMar>
            <w:top w:w="0" w:type="dxa"/>
            <w:bottom w:w="0" w:type="dxa"/>
          </w:tblCellMar>
        </w:tblPrEx>
        <w:tc>
          <w:tcPr>
            <w:tcW w:w="6000" w:type="dxa"/>
          </w:tcPr>
          <w:p w:rsidR="00E91D61" w:rsidRDefault="00E91D61"/>
          <w:p w:rsidR="00E91D61" w:rsidRDefault="00B51113">
            <w:pPr>
              <w:spacing w:after="0" w:line="276" w:lineRule="auto"/>
              <w:jc w:val="center"/>
            </w:pPr>
            <w:r>
              <w:rPr>
                <w:rFonts w:ascii="Times New Roman" w:eastAsia="Times New Roman" w:hAnsi="Times New Roman" w:cs="Times New Roman"/>
                <w:b/>
                <w:sz w:val="26"/>
              </w:rPr>
              <w:t>Tên giấy tờ</w:t>
            </w:r>
          </w:p>
        </w:tc>
        <w:tc>
          <w:tcPr>
            <w:tcW w:w="2000" w:type="dxa"/>
          </w:tcPr>
          <w:p w:rsidR="00E91D61" w:rsidRDefault="00E91D61"/>
          <w:p w:rsidR="00E91D61" w:rsidRDefault="00B51113">
            <w:pPr>
              <w:spacing w:after="0" w:line="276" w:lineRule="auto"/>
              <w:jc w:val="center"/>
            </w:pPr>
            <w:r>
              <w:rPr>
                <w:rFonts w:ascii="Times New Roman" w:eastAsia="Times New Roman" w:hAnsi="Times New Roman" w:cs="Times New Roman"/>
                <w:b/>
                <w:sz w:val="26"/>
              </w:rPr>
              <w:t>Mẫu đơn, tờ khai</w:t>
            </w:r>
          </w:p>
        </w:tc>
        <w:tc>
          <w:tcPr>
            <w:tcW w:w="2000" w:type="dxa"/>
          </w:tcPr>
          <w:p w:rsidR="00E91D61" w:rsidRDefault="00E91D61"/>
          <w:p w:rsidR="00E91D61" w:rsidRDefault="00B51113">
            <w:pPr>
              <w:spacing w:after="0" w:line="276" w:lineRule="auto"/>
              <w:jc w:val="center"/>
            </w:pPr>
            <w:r>
              <w:rPr>
                <w:rFonts w:ascii="Times New Roman" w:eastAsia="Times New Roman" w:hAnsi="Times New Roman" w:cs="Times New Roman"/>
                <w:b/>
                <w:sz w:val="26"/>
              </w:rPr>
              <w:t>Số lượng</w:t>
            </w:r>
          </w:p>
        </w:tc>
      </w:tr>
      <w:tr w:rsidR="00E91D61">
        <w:tblPrEx>
          <w:tblCellMar>
            <w:top w:w="0" w:type="dxa"/>
            <w:bottom w:w="0" w:type="dxa"/>
          </w:tblCellMar>
        </w:tblPrEx>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 Đơn đề nghị gia hạn;</w:t>
            </w:r>
          </w:p>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 xml:space="preserve">Don de nghi gia han </w:t>
            </w:r>
            <w:r>
              <w:rPr>
                <w:rFonts w:ascii="Times New Roman" w:eastAsia="Times New Roman" w:hAnsi="Times New Roman" w:cs="Times New Roman"/>
                <w:sz w:val="26"/>
              </w:rPr>
              <w:t>thoi han so huu nha o.docx</w:t>
            </w:r>
          </w:p>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91D61">
        <w:tblPrEx>
          <w:tblCellMar>
            <w:top w:w="0" w:type="dxa"/>
            <w:bottom w:w="0" w:type="dxa"/>
          </w:tblCellMar>
        </w:tblPrEx>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 xml:space="preserve">- Bản sao có chứng thực hoặc bản sao kèm theo bản chính để đối chiếu Giấy chứng nhận quyền sử dụng đất, quyền sở hữu nhà ở và tài sản gắn liền với đất hoặc giấy chứng nhận về quyền sở hữu đối với nhà ở </w:t>
            </w:r>
            <w:r>
              <w:rPr>
                <w:rFonts w:ascii="Times New Roman" w:eastAsia="Times New Roman" w:hAnsi="Times New Roman" w:cs="Times New Roman"/>
                <w:sz w:val="26"/>
              </w:rPr>
              <w:t>được cấp theo quy định của Luật Đất đai năm 2024;</w:t>
            </w:r>
          </w:p>
        </w:tc>
        <w:tc>
          <w:tcPr>
            <w:tcW w:w="0" w:type="auto"/>
          </w:tcPr>
          <w:p w:rsidR="00E91D61" w:rsidRDefault="00E91D61"/>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91D61">
        <w:tblPrEx>
          <w:tblCellMar>
            <w:top w:w="0" w:type="dxa"/>
            <w:bottom w:w="0" w:type="dxa"/>
          </w:tblCellMar>
        </w:tblPrEx>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 xml:space="preserve">- Bản sao hộ chiếu còn giá trị của chủ sở hữu nhà ở có đóng dấu nhập cảnh vào Việt Nam của cơ quan có thẩm quyền hoặc giấy tờ pháp lý tương đương nhập cảnh vào Việt Nam tại thời </w:t>
            </w:r>
            <w:r>
              <w:rPr>
                <w:rFonts w:ascii="Times New Roman" w:eastAsia="Times New Roman" w:hAnsi="Times New Roman" w:cs="Times New Roman"/>
                <w:sz w:val="26"/>
              </w:rPr>
              <w:t>điểm đề nghị gia hạn (áp dụng đối với trường hợp chủ sở hữu nhà ở là cá nhân nước ngoài);</w:t>
            </w:r>
          </w:p>
        </w:tc>
        <w:tc>
          <w:tcPr>
            <w:tcW w:w="0" w:type="auto"/>
          </w:tcPr>
          <w:p w:rsidR="00E91D61" w:rsidRDefault="00E91D61"/>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91D61">
        <w:tblPrEx>
          <w:tblCellMar>
            <w:top w:w="0" w:type="dxa"/>
            <w:bottom w:w="0" w:type="dxa"/>
          </w:tblCellMar>
        </w:tblPrEx>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 Bản sao có chứng thực hoặc bản sao kèm theo bản chính để đối chiếu Giấy chứng nhận đăng ký đầu tư đã được cơ quan có thẩm quyền của Việt</w:t>
            </w:r>
            <w:r>
              <w:rPr>
                <w:rFonts w:ascii="Times New Roman" w:eastAsia="Times New Roman" w:hAnsi="Times New Roman" w:cs="Times New Roman"/>
                <w:sz w:val="26"/>
              </w:rPr>
              <w:t xml:space="preserve"> Nam gia hạn thời gian hoạt động tại thời điểm đề nghị gia hạn (áp dụng đối với trường hợp chủ sở hữu nhà ở là tổ chức nước ngoài).</w:t>
            </w:r>
          </w:p>
        </w:tc>
        <w:tc>
          <w:tcPr>
            <w:tcW w:w="0" w:type="auto"/>
          </w:tcPr>
          <w:p w:rsidR="00E91D61" w:rsidRDefault="00E91D61"/>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91D61" w:rsidRDefault="00B51113">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Người Việt Nam định cư ở nước ngoài, Người nước ngoài, Tổ chức nước ngoài</w:t>
      </w:r>
    </w:p>
    <w:p w:rsidR="00E91D61" w:rsidRDefault="00B51113">
      <w:pPr>
        <w:spacing w:after="0" w:line="276" w:lineRule="auto"/>
        <w:jc w:val="both"/>
      </w:pPr>
      <w:r>
        <w:rPr>
          <w:rFonts w:ascii="Times New Roman" w:eastAsia="Times New Roman" w:hAnsi="Times New Roman" w:cs="Times New Roman"/>
          <w:b/>
          <w:sz w:val="26"/>
        </w:rPr>
        <w:lastRenderedPageBreak/>
        <w:t xml:space="preserve">Cơ quan thực hiện: </w:t>
      </w:r>
      <w:r>
        <w:rPr>
          <w:rFonts w:ascii="Times New Roman" w:eastAsia="Times New Roman" w:hAnsi="Times New Roman" w:cs="Times New Roman"/>
          <w:sz w:val="26"/>
        </w:rPr>
        <w:t>Ủy ban nhân dân cấp tỉnh</w:t>
      </w:r>
    </w:p>
    <w:p w:rsidR="00E91D61" w:rsidRDefault="00B51113">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E91D61" w:rsidRDefault="00B51113">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Trung tâm phục vụ hành chính công của UBND hoặc Bộ phận tiếp nhận và trả kết quả giải quyết TTHC</w:t>
      </w:r>
    </w:p>
    <w:p w:rsidR="00E91D61" w:rsidRDefault="00B51113">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E91D61" w:rsidRDefault="00B51113">
      <w:pPr>
        <w:spacing w:after="0" w:line="276" w:lineRule="auto"/>
        <w:jc w:val="both"/>
      </w:pPr>
      <w:r>
        <w:rPr>
          <w:rFonts w:ascii="Times New Roman" w:eastAsia="Times New Roman" w:hAnsi="Times New Roman" w:cs="Times New Roman"/>
          <w:b/>
          <w:sz w:val="26"/>
        </w:rPr>
        <w:t>Cơ quan p</w:t>
      </w:r>
      <w:r>
        <w:rPr>
          <w:rFonts w:ascii="Times New Roman" w:eastAsia="Times New Roman" w:hAnsi="Times New Roman" w:cs="Times New Roman"/>
          <w:b/>
          <w:sz w:val="26"/>
        </w:rPr>
        <w:t xml:space="preserve">hối hợp: </w:t>
      </w:r>
      <w:r>
        <w:rPr>
          <w:rFonts w:ascii="Times New Roman" w:eastAsia="Times New Roman" w:hAnsi="Times New Roman" w:cs="Times New Roman"/>
          <w:sz w:val="26"/>
        </w:rPr>
        <w:t>Không có thông tin</w:t>
      </w:r>
    </w:p>
    <w:p w:rsidR="00E91D61" w:rsidRDefault="00B51113">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chấp thuận gia hạn thời hạn sở hữu nhà ở</w:t>
      </w:r>
    </w:p>
    <w:p w:rsidR="00E91D61" w:rsidRDefault="00B51113">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E91D61">
        <w:tblPrEx>
          <w:tblCellMar>
            <w:top w:w="0" w:type="dxa"/>
            <w:bottom w:w="0" w:type="dxa"/>
          </w:tblCellMar>
        </w:tblPrEx>
        <w:tc>
          <w:tcPr>
            <w:tcW w:w="2000" w:type="dxa"/>
          </w:tcPr>
          <w:p w:rsidR="00E91D61" w:rsidRDefault="00E91D61"/>
          <w:p w:rsidR="00E91D61" w:rsidRDefault="00B51113">
            <w:pPr>
              <w:spacing w:after="0" w:line="276" w:lineRule="auto"/>
              <w:jc w:val="center"/>
            </w:pPr>
            <w:r>
              <w:rPr>
                <w:rFonts w:ascii="Times New Roman" w:eastAsia="Times New Roman" w:hAnsi="Times New Roman" w:cs="Times New Roman"/>
                <w:b/>
                <w:sz w:val="26"/>
              </w:rPr>
              <w:t>Số ký hiệu</w:t>
            </w:r>
          </w:p>
        </w:tc>
        <w:tc>
          <w:tcPr>
            <w:tcW w:w="3500" w:type="dxa"/>
          </w:tcPr>
          <w:p w:rsidR="00E91D61" w:rsidRDefault="00E91D61"/>
          <w:p w:rsidR="00E91D61" w:rsidRDefault="00B51113">
            <w:pPr>
              <w:spacing w:after="0" w:line="276" w:lineRule="auto"/>
              <w:jc w:val="center"/>
            </w:pPr>
            <w:r>
              <w:rPr>
                <w:rFonts w:ascii="Times New Roman" w:eastAsia="Times New Roman" w:hAnsi="Times New Roman" w:cs="Times New Roman"/>
                <w:b/>
                <w:sz w:val="26"/>
              </w:rPr>
              <w:t>Trích yếu</w:t>
            </w:r>
          </w:p>
        </w:tc>
        <w:tc>
          <w:tcPr>
            <w:tcW w:w="1500" w:type="dxa"/>
          </w:tcPr>
          <w:p w:rsidR="00E91D61" w:rsidRDefault="00E91D61"/>
          <w:p w:rsidR="00E91D61" w:rsidRDefault="00B51113">
            <w:pPr>
              <w:spacing w:after="0" w:line="276" w:lineRule="auto"/>
              <w:jc w:val="center"/>
            </w:pPr>
            <w:r>
              <w:rPr>
                <w:rFonts w:ascii="Times New Roman" w:eastAsia="Times New Roman" w:hAnsi="Times New Roman" w:cs="Times New Roman"/>
                <w:b/>
                <w:sz w:val="26"/>
              </w:rPr>
              <w:t>Ngày ban hành</w:t>
            </w:r>
          </w:p>
        </w:tc>
        <w:tc>
          <w:tcPr>
            <w:tcW w:w="3000" w:type="dxa"/>
          </w:tcPr>
          <w:p w:rsidR="00E91D61" w:rsidRDefault="00E91D61"/>
          <w:p w:rsidR="00E91D61" w:rsidRDefault="00B51113">
            <w:pPr>
              <w:spacing w:after="0" w:line="276" w:lineRule="auto"/>
              <w:jc w:val="center"/>
            </w:pPr>
            <w:r>
              <w:rPr>
                <w:rFonts w:ascii="Times New Roman" w:eastAsia="Times New Roman" w:hAnsi="Times New Roman" w:cs="Times New Roman"/>
                <w:b/>
                <w:sz w:val="26"/>
              </w:rPr>
              <w:t>Cơ quan ban hành</w:t>
            </w:r>
          </w:p>
        </w:tc>
      </w:tr>
      <w:tr w:rsidR="00E91D61">
        <w:tblPrEx>
          <w:tblCellMar>
            <w:top w:w="0" w:type="dxa"/>
            <w:bottom w:w="0" w:type="dxa"/>
          </w:tblCellMar>
        </w:tblPrEx>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27/2023/QH15</w:t>
            </w:r>
          </w:p>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Luật Nhà ở số 27/2023/QH15</w:t>
            </w:r>
          </w:p>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27-11-2023</w:t>
            </w:r>
          </w:p>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Quốc Hội</w:t>
            </w:r>
          </w:p>
        </w:tc>
      </w:tr>
      <w:tr w:rsidR="00E91D61">
        <w:tblPrEx>
          <w:tblCellMar>
            <w:top w:w="0" w:type="dxa"/>
            <w:bottom w:w="0" w:type="dxa"/>
          </w:tblCellMar>
        </w:tblPrEx>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95/2024/NĐ-CP</w:t>
            </w:r>
          </w:p>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 xml:space="preserve">Nghị </w:t>
            </w:r>
            <w:r>
              <w:rPr>
                <w:rFonts w:ascii="Times New Roman" w:eastAsia="Times New Roman" w:hAnsi="Times New Roman" w:cs="Times New Roman"/>
                <w:sz w:val="26"/>
              </w:rPr>
              <w:t>định số 95/2024/NĐ-CP ngày 24 tháng 7 năm 2024 của Chính phủ về quy định chi tiết một số điều của Luật Nhà ở;</w:t>
            </w:r>
          </w:p>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24-07-2024</w:t>
            </w:r>
          </w:p>
        </w:tc>
        <w:tc>
          <w:tcPr>
            <w:tcW w:w="0" w:type="auto"/>
          </w:tcPr>
          <w:p w:rsidR="00E91D61" w:rsidRDefault="00E91D61"/>
          <w:p w:rsidR="00E91D61" w:rsidRDefault="00B51113">
            <w:pPr>
              <w:spacing w:after="0" w:line="276" w:lineRule="auto"/>
            </w:pPr>
            <w:r>
              <w:rPr>
                <w:rFonts w:ascii="Times New Roman" w:eastAsia="Times New Roman" w:hAnsi="Times New Roman" w:cs="Times New Roman"/>
                <w:sz w:val="26"/>
              </w:rPr>
              <w:t>Chính phủ</w:t>
            </w:r>
          </w:p>
        </w:tc>
      </w:tr>
    </w:tbl>
    <w:p w:rsidR="00E91D61" w:rsidRDefault="00B51113">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Có đơn gửi UBND cấp tỉnh trước khi hết hạn sở hữu nhà ở 03 tháng.</w:t>
      </w:r>
    </w:p>
    <w:p w:rsidR="00E91D61" w:rsidRDefault="00B51113">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w:t>
      </w:r>
      <w:r>
        <w:rPr>
          <w:rFonts w:ascii="Times New Roman" w:eastAsia="Times New Roman" w:hAnsi="Times New Roman" w:cs="Times New Roman"/>
          <w:sz w:val="26"/>
        </w:rPr>
        <w:t>n</w:t>
      </w:r>
    </w:p>
    <w:p w:rsidR="00E91D61" w:rsidRDefault="00B51113">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91D6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91D61"/>
    <w:rsid w:val="00B51113"/>
    <w:rsid w:val="00E91D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8DAD1E-408A-4A91-886E-04FC7EB43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614</Words>
  <Characters>3501</Characters>
  <Application>Microsoft Office Word</Application>
  <DocSecurity>0</DocSecurity>
  <Lines>29</Lines>
  <Paragraphs>8</Paragraphs>
  <ScaleCrop>false</ScaleCrop>
  <Company>Microsoft</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